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EC63" w14:textId="4E340F08" w:rsidR="00917036" w:rsidRPr="00792174" w:rsidRDefault="00792174">
      <w:pPr>
        <w:rPr>
          <w:rFonts w:ascii="Raleway" w:hAnsi="Raleway"/>
          <w:b/>
          <w:sz w:val="30"/>
          <w:szCs w:val="30"/>
        </w:rPr>
      </w:pPr>
      <w:r w:rsidRPr="00792174">
        <w:rPr>
          <w:rFonts w:ascii="Raleway" w:hAnsi="Raleway"/>
          <w:b/>
          <w:sz w:val="30"/>
          <w:szCs w:val="30"/>
        </w:rPr>
        <w:t xml:space="preserve">Phase </w:t>
      </w:r>
      <w:r w:rsidR="00AD3D96">
        <w:rPr>
          <w:rFonts w:ascii="Raleway" w:hAnsi="Raleway"/>
          <w:b/>
          <w:sz w:val="30"/>
          <w:szCs w:val="30"/>
        </w:rPr>
        <w:t>3</w:t>
      </w:r>
      <w:r w:rsidRPr="00792174">
        <w:rPr>
          <w:rFonts w:ascii="Raleway" w:hAnsi="Raleway"/>
          <w:b/>
          <w:sz w:val="30"/>
          <w:szCs w:val="30"/>
        </w:rPr>
        <w:t xml:space="preserve"> Coaching</w:t>
      </w:r>
      <w:r w:rsidR="00EE21ED">
        <w:rPr>
          <w:rFonts w:ascii="Raleway" w:hAnsi="Raleway"/>
          <w:b/>
          <w:sz w:val="30"/>
          <w:szCs w:val="30"/>
        </w:rPr>
        <w:t xml:space="preserve"> </w:t>
      </w:r>
      <w:r w:rsidRPr="00792174">
        <w:rPr>
          <w:rFonts w:ascii="Raleway" w:hAnsi="Raleway"/>
          <w:b/>
          <w:sz w:val="30"/>
          <w:szCs w:val="30"/>
        </w:rPr>
        <w:t>+ Development Tool</w:t>
      </w:r>
    </w:p>
    <w:p w14:paraId="74C7691B" w14:textId="77777777" w:rsidR="00AE4E76" w:rsidRPr="00792174" w:rsidRDefault="00AE4E76">
      <w:pPr>
        <w:rPr>
          <w:rFonts w:ascii="Raleway" w:hAnsi="Raleway"/>
        </w:rPr>
      </w:pPr>
    </w:p>
    <w:p w14:paraId="2118142A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Assessment and Data </w:t>
      </w:r>
      <w:r w:rsidR="00AE4E76" w:rsidRPr="00792174">
        <w:rPr>
          <w:rFonts w:ascii="Raleway" w:hAnsi="Raleway"/>
          <w:b/>
          <w:i/>
        </w:rPr>
        <w:t xml:space="preserve"> 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13"/>
      </w:tblGrid>
      <w:tr w:rsidR="00AE4E76" w:rsidRPr="00792174" w14:paraId="765FBF10" w14:textId="77777777" w:rsidTr="0030683D">
        <w:trPr>
          <w:trHeight w:val="303"/>
        </w:trPr>
        <w:tc>
          <w:tcPr>
            <w:tcW w:w="10835" w:type="dxa"/>
            <w:gridSpan w:val="4"/>
            <w:shd w:val="clear" w:color="auto" w:fill="FFFF00"/>
          </w:tcPr>
          <w:p w14:paraId="33CA63B4" w14:textId="6DEAC3D8" w:rsidR="00AE4E76" w:rsidRPr="00792174" w:rsidRDefault="00AD3D96" w:rsidP="00093B47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Authentic Assessment</w:t>
            </w:r>
            <w:r w:rsidR="00FA4ADA" w:rsidRPr="00792174">
              <w:rPr>
                <w:rFonts w:ascii="Raleway" w:hAnsi="Raleway"/>
                <w:b/>
                <w:sz w:val="24"/>
                <w:szCs w:val="24"/>
              </w:rPr>
              <w:t xml:space="preserve"> 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 xml:space="preserve">(TEI Alignment </w:t>
            </w:r>
            <w:r>
              <w:rPr>
                <w:rFonts w:ascii="Raleway" w:hAnsi="Raleway"/>
                <w:sz w:val="24"/>
                <w:szCs w:val="24"/>
              </w:rPr>
              <w:t>1.3, 2.2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>)</w:t>
            </w:r>
            <w:r w:rsidR="00AE4E76" w:rsidRPr="00792174">
              <w:rPr>
                <w:rFonts w:ascii="Raleway" w:hAnsi="Raleway"/>
                <w:sz w:val="28"/>
                <w:szCs w:val="24"/>
              </w:rPr>
              <w:t xml:space="preserve"> </w:t>
            </w:r>
          </w:p>
        </w:tc>
      </w:tr>
      <w:tr w:rsidR="0030683D" w:rsidRPr="00792174" w14:paraId="1B6EE0C6" w14:textId="77777777" w:rsidTr="0030683D">
        <w:trPr>
          <w:trHeight w:val="209"/>
        </w:trPr>
        <w:tc>
          <w:tcPr>
            <w:tcW w:w="2707" w:type="dxa"/>
            <w:shd w:val="clear" w:color="auto" w:fill="E7E6E6" w:themeFill="background2"/>
          </w:tcPr>
          <w:p w14:paraId="5231BE6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07" w:type="dxa"/>
            <w:shd w:val="clear" w:color="auto" w:fill="E7E6E6" w:themeFill="background2"/>
          </w:tcPr>
          <w:p w14:paraId="5961429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0343786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3" w:type="dxa"/>
            <w:shd w:val="clear" w:color="auto" w:fill="E7E6E6" w:themeFill="background2"/>
          </w:tcPr>
          <w:p w14:paraId="4E6F35C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26C717C5" w14:textId="77777777" w:rsidTr="0030683D">
        <w:trPr>
          <w:trHeight w:val="303"/>
        </w:trPr>
        <w:tc>
          <w:tcPr>
            <w:tcW w:w="2707" w:type="dxa"/>
          </w:tcPr>
          <w:p w14:paraId="6CC77F6A" w14:textId="77777777" w:rsidR="00AD3D96" w:rsidRPr="00D03BA2" w:rsidRDefault="00AD3D96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B6D0EE8" w14:textId="3C6FE9C3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 w:rsidRPr="00B338AA">
              <w:rPr>
                <w:rFonts w:ascii="Raleway" w:hAnsi="Raleway"/>
                <w:sz w:val="20"/>
                <w:szCs w:val="20"/>
              </w:rPr>
              <w:t>Students demonstrate learning through formative and summative assessments that tend to be</w:t>
            </w:r>
            <w:r>
              <w:rPr>
                <w:rFonts w:ascii="Raleway" w:hAnsi="Raleway"/>
                <w:b/>
                <w:sz w:val="20"/>
                <w:szCs w:val="20"/>
              </w:rPr>
              <w:t xml:space="preserve"> unvaried. 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</w:tcPr>
          <w:p w14:paraId="2237DD4C" w14:textId="77777777" w:rsidR="00AD3D96" w:rsidRDefault="00AD3D96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3B65F3D2" w14:textId="5431804E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demonstrate learning through formative and summative assessments that are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varied</w:t>
            </w:r>
            <w:r>
              <w:rPr>
                <w:rFonts w:ascii="Raleway" w:hAnsi="Raleway"/>
                <w:sz w:val="20"/>
                <w:szCs w:val="20"/>
              </w:rPr>
              <w:t xml:space="preserve">, but assessments may be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generic</w:t>
            </w:r>
            <w:r>
              <w:rPr>
                <w:rFonts w:ascii="Raleway" w:hAnsi="Raleway"/>
                <w:sz w:val="20"/>
                <w:szCs w:val="20"/>
              </w:rPr>
              <w:t xml:space="preserve"> and/or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inauthentic</w:t>
            </w:r>
            <w:r>
              <w:rPr>
                <w:rFonts w:ascii="Raleway" w:hAnsi="Raleway"/>
                <w:sz w:val="20"/>
                <w:szCs w:val="20"/>
              </w:rPr>
              <w:t xml:space="preserve">.  </w:t>
            </w:r>
          </w:p>
        </w:tc>
        <w:tc>
          <w:tcPr>
            <w:tcW w:w="2708" w:type="dxa"/>
          </w:tcPr>
          <w:p w14:paraId="3D391922" w14:textId="77777777" w:rsidR="00AD3D96" w:rsidRDefault="00AD3D96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340335C" w14:textId="52860338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demonstrate learning through formative and summative assessments that are varied,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relevant</w:t>
            </w:r>
            <w:r>
              <w:rPr>
                <w:rFonts w:ascii="Raleway" w:hAnsi="Raleway"/>
                <w:sz w:val="20"/>
                <w:szCs w:val="20"/>
              </w:rPr>
              <w:t xml:space="preserve">,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rigorous</w:t>
            </w:r>
            <w:r>
              <w:rPr>
                <w:rFonts w:ascii="Raleway" w:hAnsi="Raleway"/>
                <w:sz w:val="20"/>
                <w:szCs w:val="20"/>
              </w:rPr>
              <w:t xml:space="preserve">. </w:t>
            </w:r>
          </w:p>
        </w:tc>
        <w:tc>
          <w:tcPr>
            <w:tcW w:w="2713" w:type="dxa"/>
          </w:tcPr>
          <w:p w14:paraId="7A365B53" w14:textId="77777777" w:rsidR="00AD3D96" w:rsidRDefault="00AD3D96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25A0D98F" w14:textId="125A7325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demonstrate learning through formative and summative assessments that are varied,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authentic</w:t>
            </w:r>
            <w:r>
              <w:rPr>
                <w:rFonts w:ascii="Raleway" w:hAnsi="Raleway"/>
                <w:sz w:val="20"/>
                <w:szCs w:val="20"/>
              </w:rPr>
              <w:t xml:space="preserve">, relevant, and rigorous.  </w:t>
            </w:r>
          </w:p>
        </w:tc>
      </w:tr>
      <w:tr w:rsidR="00AD3D96" w:rsidRPr="00792174" w14:paraId="179FB7E4" w14:textId="77777777" w:rsidTr="0030683D">
        <w:trPr>
          <w:trHeight w:val="252"/>
        </w:trPr>
        <w:tc>
          <w:tcPr>
            <w:tcW w:w="10835" w:type="dxa"/>
            <w:gridSpan w:val="4"/>
          </w:tcPr>
          <w:p w14:paraId="3EE7ABB8" w14:textId="77777777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>Observation Notes</w:t>
            </w:r>
          </w:p>
          <w:p w14:paraId="58B392CD" w14:textId="77777777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7C139DF5" w14:textId="77777777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55E7147" w14:textId="77777777" w:rsidR="00AE4E76" w:rsidRPr="00792174" w:rsidRDefault="00AE4E76" w:rsidP="00AE4E76">
      <w:pPr>
        <w:rPr>
          <w:rFonts w:ascii="Raleway" w:hAnsi="Raleway"/>
          <w:b/>
        </w:rPr>
      </w:pPr>
    </w:p>
    <w:p w14:paraId="732CAD9F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Instructional Rigor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3"/>
        <w:gridCol w:w="2714"/>
        <w:gridCol w:w="2708"/>
        <w:gridCol w:w="2721"/>
      </w:tblGrid>
      <w:tr w:rsidR="00093B47" w:rsidRPr="00792174" w14:paraId="69782B15" w14:textId="77777777" w:rsidTr="0030683D">
        <w:trPr>
          <w:trHeight w:val="369"/>
        </w:trPr>
        <w:tc>
          <w:tcPr>
            <w:tcW w:w="10836" w:type="dxa"/>
            <w:gridSpan w:val="4"/>
            <w:shd w:val="clear" w:color="auto" w:fill="FFC000"/>
          </w:tcPr>
          <w:p w14:paraId="140D9E22" w14:textId="08BB495F" w:rsidR="00093B47" w:rsidRPr="00792174" w:rsidRDefault="00AD3D96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Personalized Learning Pathways</w:t>
            </w:r>
            <w:r w:rsidR="00093B47"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="00093B47" w:rsidRPr="00C2299C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2.1, 2.3</w:t>
            </w:r>
            <w:r w:rsidR="00093B47" w:rsidRPr="00C2299C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04640070" w14:textId="77777777" w:rsidTr="0030683D">
        <w:trPr>
          <w:trHeight w:val="213"/>
        </w:trPr>
        <w:tc>
          <w:tcPr>
            <w:tcW w:w="2693" w:type="dxa"/>
            <w:shd w:val="clear" w:color="auto" w:fill="E7E6E6" w:themeFill="background2"/>
          </w:tcPr>
          <w:p w14:paraId="4219AF54" w14:textId="569D34C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6E67F62A" w14:textId="12C292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255BA27E" w14:textId="022D824D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477591B7" w14:textId="5AAEF1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61CD84A6" w14:textId="77777777" w:rsidTr="0030683D">
        <w:trPr>
          <w:trHeight w:val="1640"/>
        </w:trPr>
        <w:tc>
          <w:tcPr>
            <w:tcW w:w="2693" w:type="dxa"/>
          </w:tcPr>
          <w:p w14:paraId="488A2DDE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0A91C9A7" w14:textId="77777777" w:rsidR="00AD3D96" w:rsidRPr="000A4C2D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the same pathway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to accomplish their academic goals.</w:t>
            </w:r>
          </w:p>
          <w:p w14:paraId="27F9DFB0" w14:textId="77777777" w:rsidR="00AD3D96" w:rsidRPr="00E46A8E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780E6F04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15F1B2C9" w14:textId="77777777" w:rsidR="00AD3D96" w:rsidRPr="000A4C2D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customized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pathways to accomplish their academic goals.</w:t>
            </w:r>
          </w:p>
          <w:p w14:paraId="3411C649" w14:textId="77777777" w:rsidR="00AD3D96" w:rsidRPr="00E46A8E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5CC5F6B2" w14:textId="77777777" w:rsidR="00AD3D96" w:rsidRDefault="00AD3D96" w:rsidP="00924E40">
            <w:pPr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62AB9AE9" w14:textId="74647573" w:rsidR="00AD3D96" w:rsidRPr="00E46A8E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customized pathways to accomplish their academic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and non-academic goals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21" w:type="dxa"/>
          </w:tcPr>
          <w:p w14:paraId="3195E973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4CFAB1F7" w14:textId="77777777" w:rsidR="00AD3D96" w:rsidRPr="000A4C2D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customized pathways,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that adapt as necessary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to accomplish their individual academic and non-academic goals.</w:t>
            </w:r>
          </w:p>
          <w:p w14:paraId="77DC8454" w14:textId="77777777" w:rsidR="00AD3D96" w:rsidRPr="00E46A8E" w:rsidRDefault="00AD3D96" w:rsidP="00924E40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AD3D96" w:rsidRPr="00792174" w14:paraId="1AA0248E" w14:textId="77777777" w:rsidTr="0030683D">
        <w:trPr>
          <w:trHeight w:val="698"/>
        </w:trPr>
        <w:tc>
          <w:tcPr>
            <w:tcW w:w="10836" w:type="dxa"/>
            <w:gridSpan w:val="4"/>
          </w:tcPr>
          <w:p w14:paraId="2466B125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  <w:p w14:paraId="12A68DF1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0CA71270" w14:textId="77777777" w:rsidR="00AE4E76" w:rsidRPr="00792174" w:rsidRDefault="00AE4E76">
      <w:pPr>
        <w:rPr>
          <w:rFonts w:ascii="Raleway" w:hAnsi="Raleway"/>
        </w:rPr>
      </w:pPr>
    </w:p>
    <w:p w14:paraId="007B04AB" w14:textId="77777777" w:rsidR="00E51FF1" w:rsidRPr="00792174" w:rsidRDefault="00E51FF1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Student Agency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5"/>
        <w:gridCol w:w="2714"/>
        <w:gridCol w:w="2708"/>
        <w:gridCol w:w="2719"/>
      </w:tblGrid>
      <w:tr w:rsidR="00E46A8E" w:rsidRPr="00792174" w14:paraId="57CF200A" w14:textId="77777777" w:rsidTr="00792174">
        <w:trPr>
          <w:trHeight w:val="449"/>
        </w:trPr>
        <w:tc>
          <w:tcPr>
            <w:tcW w:w="10836" w:type="dxa"/>
            <w:gridSpan w:val="4"/>
            <w:shd w:val="clear" w:color="auto" w:fill="00B0F0"/>
          </w:tcPr>
          <w:p w14:paraId="0A6ECD85" w14:textId="7DCF7346" w:rsidR="00E46A8E" w:rsidRPr="00792174" w:rsidRDefault="00AD3D96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Opportunities for Input</w:t>
            </w:r>
            <w:r w:rsidR="00E46A8E" w:rsidRPr="00D52C99">
              <w:rPr>
                <w:rFonts w:ascii="Raleway" w:hAnsi="Raleway"/>
                <w:b/>
                <w:sz w:val="28"/>
              </w:rPr>
              <w:t xml:space="preserve"> </w:t>
            </w:r>
            <w:r w:rsidR="00E46A8E" w:rsidRPr="00D52C99">
              <w:rPr>
                <w:rFonts w:ascii="Raleway" w:hAnsi="Raleway"/>
                <w:sz w:val="28"/>
              </w:rPr>
              <w:t>(TEI Alignment 1.4, 2</w:t>
            </w:r>
            <w:r>
              <w:rPr>
                <w:rFonts w:ascii="Raleway" w:hAnsi="Raleway"/>
                <w:sz w:val="28"/>
              </w:rPr>
              <w:t>.2</w:t>
            </w:r>
            <w:r w:rsidR="00E46A8E" w:rsidRPr="00D52C99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04801D6F" w14:textId="77777777" w:rsidTr="0030683D">
        <w:trPr>
          <w:trHeight w:val="436"/>
        </w:trPr>
        <w:tc>
          <w:tcPr>
            <w:tcW w:w="2695" w:type="dxa"/>
            <w:shd w:val="clear" w:color="auto" w:fill="E7E6E6" w:themeFill="background2"/>
          </w:tcPr>
          <w:p w14:paraId="400CF1DE" w14:textId="2C3AEF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4BA7A5B8" w14:textId="5C527BD8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798D5609" w14:textId="57AC9044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9" w:type="dxa"/>
            <w:shd w:val="clear" w:color="auto" w:fill="E7E6E6" w:themeFill="background2"/>
          </w:tcPr>
          <w:p w14:paraId="3E2AA170" w14:textId="0D24FD0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47E30184" w14:textId="77777777" w:rsidTr="0030683D">
        <w:trPr>
          <w:trHeight w:val="1979"/>
        </w:trPr>
        <w:tc>
          <w:tcPr>
            <w:tcW w:w="2695" w:type="dxa"/>
          </w:tcPr>
          <w:p w14:paraId="59E1E6B3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2D66C47E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Teacher makes decisions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about students' instructional experiences.</w:t>
            </w:r>
          </w:p>
          <w:p w14:paraId="793B8B8E" w14:textId="77777777" w:rsidR="00AD3D96" w:rsidRPr="00AD3D96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A5C34CC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5A8CE5A5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sometimes make decisions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about their instructional experiences, but decisions may be of low-risk or importance.</w:t>
            </w:r>
          </w:p>
          <w:p w14:paraId="34D4A80D" w14:textId="77777777" w:rsidR="00AD3D96" w:rsidRPr="00AD3D96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4E6252CC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6A52DCE8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sometimes make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informed and important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decisions about their instructional experiences, such as how they'll demonstrate mastery, when they'll demonstrate mastery, and what activities they will pursue along the way.</w:t>
            </w:r>
          </w:p>
          <w:p w14:paraId="2055ABDB" w14:textId="77777777" w:rsidR="00AD3D96" w:rsidRPr="00AD3D96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9" w:type="dxa"/>
          </w:tcPr>
          <w:p w14:paraId="2D0F2A09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07F194B0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frequently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make informed and important decisions about their instructional experiences, such as how they'll demonstrate mastery, when they'll demonstrate mastery, and what activities they will pursue along the way.</w:t>
            </w:r>
          </w:p>
          <w:p w14:paraId="777B1509" w14:textId="2FD02046" w:rsidR="00AD3D96" w:rsidRPr="00AD3D96" w:rsidRDefault="00AD3D96" w:rsidP="00924E40">
            <w:pPr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</w:tr>
      <w:tr w:rsidR="00AD3D96" w:rsidRPr="00792174" w14:paraId="151B4C79" w14:textId="77777777" w:rsidTr="0030683D">
        <w:trPr>
          <w:trHeight w:val="656"/>
        </w:trPr>
        <w:tc>
          <w:tcPr>
            <w:tcW w:w="10836" w:type="dxa"/>
            <w:gridSpan w:val="4"/>
          </w:tcPr>
          <w:p w14:paraId="6ABDF98B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535184EA" w14:textId="77777777" w:rsidR="00385D88" w:rsidRPr="00792174" w:rsidRDefault="00385D88">
      <w:pPr>
        <w:rPr>
          <w:rFonts w:ascii="Raleway" w:hAnsi="Raleway"/>
          <w:b/>
        </w:rPr>
      </w:pPr>
    </w:p>
    <w:p w14:paraId="7964DF5E" w14:textId="77777777" w:rsidR="00792174" w:rsidRDefault="00792174">
      <w:pPr>
        <w:rPr>
          <w:rFonts w:ascii="Raleway" w:hAnsi="Raleway"/>
          <w:b/>
          <w:i/>
        </w:rPr>
      </w:pPr>
    </w:p>
    <w:p w14:paraId="2DDA1B9A" w14:textId="77777777" w:rsidR="00792174" w:rsidRDefault="00792174">
      <w:pPr>
        <w:rPr>
          <w:rFonts w:ascii="Raleway" w:hAnsi="Raleway"/>
          <w:b/>
          <w:i/>
        </w:rPr>
      </w:pPr>
    </w:p>
    <w:p w14:paraId="23619F90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Classroom Culture 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2661"/>
        <w:gridCol w:w="2680"/>
        <w:gridCol w:w="2665"/>
        <w:gridCol w:w="2689"/>
      </w:tblGrid>
      <w:tr w:rsidR="00E46A8E" w:rsidRPr="00792174" w14:paraId="0DA3DA56" w14:textId="77777777" w:rsidTr="00792174">
        <w:trPr>
          <w:trHeight w:val="352"/>
        </w:trPr>
        <w:tc>
          <w:tcPr>
            <w:tcW w:w="10695" w:type="dxa"/>
            <w:gridSpan w:val="4"/>
            <w:shd w:val="clear" w:color="auto" w:fill="FF5771"/>
          </w:tcPr>
          <w:p w14:paraId="73332F20" w14:textId="607F7F60" w:rsidR="00E46A8E" w:rsidRPr="00792174" w:rsidRDefault="00AD3D96" w:rsidP="00924E40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Growth Mindset</w:t>
            </w:r>
            <w:r w:rsidR="00E46A8E"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="00E46A8E" w:rsidRPr="00120674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3.2</w:t>
            </w:r>
            <w:r w:rsidR="00E46A8E" w:rsidRPr="00120674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2C761841" w14:textId="77777777" w:rsidTr="00792174">
        <w:trPr>
          <w:trHeight w:val="211"/>
        </w:trPr>
        <w:tc>
          <w:tcPr>
            <w:tcW w:w="2661" w:type="dxa"/>
            <w:shd w:val="clear" w:color="auto" w:fill="E7E6E6" w:themeFill="background2"/>
          </w:tcPr>
          <w:p w14:paraId="61FBC485" w14:textId="177759A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80" w:type="dxa"/>
            <w:shd w:val="clear" w:color="auto" w:fill="E7E6E6" w:themeFill="background2"/>
          </w:tcPr>
          <w:p w14:paraId="12AF13C3" w14:textId="129ECE6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65" w:type="dxa"/>
            <w:shd w:val="clear" w:color="auto" w:fill="E7E6E6" w:themeFill="background2"/>
          </w:tcPr>
          <w:p w14:paraId="6195D377" w14:textId="19A1BF1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89" w:type="dxa"/>
            <w:shd w:val="clear" w:color="auto" w:fill="E7E6E6" w:themeFill="background2"/>
          </w:tcPr>
          <w:p w14:paraId="4BDE5BD7" w14:textId="448367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427D7B68" w14:textId="77777777" w:rsidTr="00792174">
        <w:trPr>
          <w:trHeight w:val="1568"/>
        </w:trPr>
        <w:tc>
          <w:tcPr>
            <w:tcW w:w="2661" w:type="dxa"/>
          </w:tcPr>
          <w:p w14:paraId="61D37DBC" w14:textId="77777777" w:rsidR="00AD3D96" w:rsidRPr="008263BA" w:rsidRDefault="00AD3D96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098B6FD0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believe their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knowledge and skills are fixed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.</w:t>
            </w:r>
          </w:p>
          <w:p w14:paraId="7F1A98CD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0" w:type="dxa"/>
          </w:tcPr>
          <w:p w14:paraId="454D4239" w14:textId="77777777" w:rsidR="00AD3D96" w:rsidRPr="008263BA" w:rsidRDefault="00AD3D96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3FF25F5F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Students sometimes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 xml:space="preserve"> believe they can grow their knowledge and skills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and realize success through effort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when prompted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by the teacher. </w:t>
            </w:r>
          </w:p>
          <w:p w14:paraId="2E76ADD5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65" w:type="dxa"/>
          </w:tcPr>
          <w:p w14:paraId="5041911C" w14:textId="77777777" w:rsidR="00AD3D96" w:rsidRPr="008263BA" w:rsidRDefault="00AD3D96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7E68B197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usually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believe they can grow their knowledge and skills and realize success through self-directed effort. </w:t>
            </w:r>
          </w:p>
          <w:p w14:paraId="1171E691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</w:p>
          <w:p w14:paraId="504A4B10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9" w:type="dxa"/>
          </w:tcPr>
          <w:p w14:paraId="79BC0C74" w14:textId="77777777" w:rsidR="00AD3D96" w:rsidRPr="008263BA" w:rsidRDefault="00AD3D96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3E36AF82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always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believe they can grow their knowledge and skills and realize success through self-directed effort (growth mindset).</w:t>
            </w:r>
          </w:p>
          <w:p w14:paraId="710E0908" w14:textId="59A71421" w:rsidR="00AD3D96" w:rsidRPr="00792174" w:rsidRDefault="00AD3D96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  <w:tr w:rsidR="00AD3D96" w:rsidRPr="00792174" w14:paraId="490599EB" w14:textId="77777777" w:rsidTr="00792174">
        <w:trPr>
          <w:trHeight w:val="543"/>
        </w:trPr>
        <w:tc>
          <w:tcPr>
            <w:tcW w:w="10695" w:type="dxa"/>
            <w:gridSpan w:val="4"/>
          </w:tcPr>
          <w:p w14:paraId="62F4163A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6EEA6F5" w14:textId="77777777" w:rsidR="00385D88" w:rsidRPr="00792174" w:rsidRDefault="00385D88">
      <w:pPr>
        <w:rPr>
          <w:rFonts w:ascii="Raleway" w:hAnsi="Raleway"/>
        </w:rPr>
      </w:pPr>
    </w:p>
    <w:p w14:paraId="3C87F5FF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Equity 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690"/>
        <w:gridCol w:w="2710"/>
        <w:gridCol w:w="2694"/>
        <w:gridCol w:w="2721"/>
      </w:tblGrid>
      <w:tr w:rsidR="00385D88" w:rsidRPr="00792174" w14:paraId="422DCCAF" w14:textId="77777777" w:rsidTr="00792174">
        <w:trPr>
          <w:trHeight w:val="408"/>
        </w:trPr>
        <w:tc>
          <w:tcPr>
            <w:tcW w:w="10815" w:type="dxa"/>
            <w:gridSpan w:val="4"/>
            <w:shd w:val="clear" w:color="auto" w:fill="9E43E3"/>
          </w:tcPr>
          <w:p w14:paraId="46F50E2E" w14:textId="6BFAC55A" w:rsidR="00385D88" w:rsidRPr="00792174" w:rsidRDefault="00AD3D96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Collaborative Grouping</w:t>
            </w:r>
            <w:r w:rsidR="00E46A8E">
              <w:rPr>
                <w:rFonts w:ascii="Raleway" w:hAnsi="Raleway"/>
                <w:sz w:val="28"/>
              </w:rPr>
              <w:t xml:space="preserve"> (TEI Alignment </w:t>
            </w:r>
            <w:r w:rsidR="00337533">
              <w:rPr>
                <w:rFonts w:ascii="Raleway" w:hAnsi="Raleway"/>
                <w:sz w:val="28"/>
              </w:rPr>
              <w:t>1.2</w:t>
            </w:r>
            <w:bookmarkStart w:id="0" w:name="_GoBack"/>
            <w:bookmarkEnd w:id="0"/>
            <w:r>
              <w:rPr>
                <w:rFonts w:ascii="Raleway" w:hAnsi="Raleway"/>
                <w:sz w:val="28"/>
              </w:rPr>
              <w:t>, 2.3</w:t>
            </w:r>
            <w:r w:rsidR="00385D88" w:rsidRPr="00792174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E46A8E" w:rsidRPr="00792174" w14:paraId="5CC5D65D" w14:textId="77777777" w:rsidTr="00792174">
        <w:trPr>
          <w:trHeight w:val="289"/>
        </w:trPr>
        <w:tc>
          <w:tcPr>
            <w:tcW w:w="2690" w:type="dxa"/>
            <w:shd w:val="clear" w:color="auto" w:fill="E7E6E6" w:themeFill="background2"/>
          </w:tcPr>
          <w:p w14:paraId="72122479" w14:textId="011712A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0" w:type="dxa"/>
            <w:shd w:val="clear" w:color="auto" w:fill="E7E6E6" w:themeFill="background2"/>
          </w:tcPr>
          <w:p w14:paraId="3D0E1A10" w14:textId="4BB9DAC0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4" w:type="dxa"/>
            <w:shd w:val="clear" w:color="auto" w:fill="E7E6E6" w:themeFill="background2"/>
          </w:tcPr>
          <w:p w14:paraId="610AA510" w14:textId="7758A3EC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706B3B10" w14:textId="696EA4B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3CF6F255" w14:textId="77777777" w:rsidTr="00792174">
        <w:trPr>
          <w:trHeight w:val="1626"/>
        </w:trPr>
        <w:tc>
          <w:tcPr>
            <w:tcW w:w="2690" w:type="dxa"/>
          </w:tcPr>
          <w:p w14:paraId="0574C2E6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5A0CB1C7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have the opportunity to work independently and in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unchanging peer groups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>, i.e., students are always in the same group.</w:t>
            </w:r>
          </w:p>
          <w:p w14:paraId="20659239" w14:textId="77777777" w:rsidR="00AD3D96" w:rsidRPr="00AD3D96" w:rsidRDefault="00AD3D96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10" w:type="dxa"/>
          </w:tcPr>
          <w:p w14:paraId="6B65B4D7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340D03ED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have the opportunity to work independently and in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evolving peer groups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>, but grouping strategies tend to be unvaried, e.g., students are always grouped based on mastery.</w:t>
            </w:r>
          </w:p>
          <w:p w14:paraId="316E455D" w14:textId="77777777" w:rsidR="00AD3D96" w:rsidRPr="00AD3D96" w:rsidRDefault="00AD3D96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8E2EF9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725C6367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have the opportunity to work independently, in evolving peer groups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varied by size and make-up,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and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 with teacher(s) to accomplish their academic goals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>.</w:t>
            </w:r>
          </w:p>
          <w:p w14:paraId="1A744B57" w14:textId="77777777" w:rsidR="00AD3D96" w:rsidRPr="00AD3D96" w:rsidRDefault="00AD3D96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2AD12F2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5D5E4B1F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Working in groups of varied size and make-up to accomplish academic and non-academic goals,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are supported in sharing their own and incorporating different perspectives based on the identities of the individuals in the group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. </w:t>
            </w:r>
          </w:p>
          <w:p w14:paraId="7C329E7C" w14:textId="77777777" w:rsidR="00AD3D96" w:rsidRPr="00AD3D96" w:rsidRDefault="00AD3D96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AD3D96" w:rsidRPr="00792174" w14:paraId="7D42D922" w14:textId="77777777" w:rsidTr="00792174">
        <w:trPr>
          <w:trHeight w:val="649"/>
        </w:trPr>
        <w:tc>
          <w:tcPr>
            <w:tcW w:w="10815" w:type="dxa"/>
            <w:gridSpan w:val="4"/>
          </w:tcPr>
          <w:p w14:paraId="68BB874F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0890DBBA" w14:textId="77777777" w:rsidR="00385D88" w:rsidRPr="00792174" w:rsidRDefault="00385D88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2174" w:rsidRPr="00792174" w14:paraId="10BE7803" w14:textId="77777777" w:rsidTr="00792174">
        <w:tc>
          <w:tcPr>
            <w:tcW w:w="3596" w:type="dxa"/>
            <w:shd w:val="clear" w:color="auto" w:fill="A6A6A6" w:themeFill="background1" w:themeFillShade="A6"/>
          </w:tcPr>
          <w:p w14:paraId="384A111D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Praise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C7F5543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Wondering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BF6A902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Polish</w:t>
            </w:r>
          </w:p>
        </w:tc>
      </w:tr>
      <w:tr w:rsidR="00792174" w:rsidRPr="00792174" w14:paraId="66FAD477" w14:textId="77777777" w:rsidTr="00792174">
        <w:tc>
          <w:tcPr>
            <w:tcW w:w="3596" w:type="dxa"/>
          </w:tcPr>
          <w:p w14:paraId="760ECD1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0DF394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EA4788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06B003C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298D6FD0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20750D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5DB4E62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FEE39C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12BC92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7CFF398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FC0EAC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</w:tr>
    </w:tbl>
    <w:p w14:paraId="44F13786" w14:textId="77777777" w:rsidR="00792174" w:rsidRDefault="00792174"/>
    <w:p w14:paraId="74EBE745" w14:textId="3BAB8EAB" w:rsidR="00792174" w:rsidRDefault="00792174"/>
    <w:p w14:paraId="3570AE95" w14:textId="632771CE" w:rsidR="00792174" w:rsidRDefault="00792174"/>
    <w:p w14:paraId="3EE64D1D" w14:textId="0EF253DB" w:rsidR="00792174" w:rsidRDefault="00792174"/>
    <w:p w14:paraId="24293A36" w14:textId="45FF5DC0" w:rsidR="00792174" w:rsidRPr="00164E2C" w:rsidRDefault="00164E2C" w:rsidP="00164E2C">
      <w:pPr>
        <w:rPr>
          <w:b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296E471E" wp14:editId="6B30F0EF">
            <wp:simplePos x="0" y="0"/>
            <wp:positionH relativeFrom="margin">
              <wp:posOffset>3896995</wp:posOffset>
            </wp:positionH>
            <wp:positionV relativeFrom="margin">
              <wp:posOffset>8147050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br/>
        <w:t xml:space="preserve"> </w:t>
      </w:r>
      <w:r w:rsidR="00792174" w:rsidRPr="00164E2C">
        <w:rPr>
          <w:b/>
        </w:rPr>
        <w:t xml:space="preserve">Personalized Learning </w:t>
      </w:r>
    </w:p>
    <w:p w14:paraId="5CAAF9F0" w14:textId="424727A8" w:rsidR="00792174" w:rsidRPr="00164E2C" w:rsidRDefault="00164E2C" w:rsidP="00164E2C">
      <w:pPr>
        <w:ind w:left="4320"/>
        <w:rPr>
          <w:b/>
        </w:rPr>
      </w:pPr>
      <w:r w:rsidRPr="00164E2C">
        <w:rPr>
          <w:b/>
        </w:rPr>
        <w:t xml:space="preserve">                        </w:t>
      </w:r>
      <w:r w:rsidRPr="00164E2C">
        <w:rPr>
          <w:b/>
        </w:rPr>
        <w:br/>
        <w:t xml:space="preserve"> </w:t>
      </w:r>
      <w:r w:rsidR="00792174" w:rsidRPr="00164E2C">
        <w:rPr>
          <w:b/>
        </w:rPr>
        <w:t>Department</w:t>
      </w:r>
    </w:p>
    <w:p w14:paraId="2643619A" w14:textId="3EC942CE" w:rsidR="00792174" w:rsidRDefault="00164E2C" w:rsidP="00164E2C">
      <w:pPr>
        <w:ind w:left="3600"/>
      </w:pPr>
      <w:r>
        <w:t xml:space="preserve">  </w:t>
      </w:r>
      <w:hyperlink r:id="rId7" w:history="1">
        <w:r w:rsidR="00792174" w:rsidRPr="005917B1">
          <w:rPr>
            <w:rStyle w:val="Hyperlink"/>
          </w:rPr>
          <w:t>www.thepltoolbox.com</w:t>
        </w:r>
      </w:hyperlink>
      <w:r w:rsidR="00792174">
        <w:t xml:space="preserve"> </w:t>
      </w:r>
    </w:p>
    <w:sectPr w:rsidR="00792174" w:rsidSect="0030683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74726" w14:textId="77777777" w:rsidR="00C75CA4" w:rsidRDefault="00C75CA4" w:rsidP="00AE4E76">
      <w:r>
        <w:separator/>
      </w:r>
    </w:p>
  </w:endnote>
  <w:endnote w:type="continuationSeparator" w:id="0">
    <w:p w14:paraId="5D36B721" w14:textId="77777777" w:rsidR="00C75CA4" w:rsidRDefault="00C75CA4" w:rsidP="00A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E60ED" w14:textId="77777777" w:rsidR="00C75CA4" w:rsidRDefault="00C75CA4" w:rsidP="00AE4E76">
      <w:r>
        <w:separator/>
      </w:r>
    </w:p>
  </w:footnote>
  <w:footnote w:type="continuationSeparator" w:id="0">
    <w:p w14:paraId="00FA3854" w14:textId="77777777" w:rsidR="00C75CA4" w:rsidRDefault="00C75CA4" w:rsidP="00AE4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EC58" w14:textId="77777777" w:rsidR="00AE4E76" w:rsidRDefault="00AE4E76">
    <w:pPr>
      <w:pStyle w:val="Header"/>
    </w:pPr>
    <w:r>
      <w:rPr>
        <w:noProof/>
      </w:rPr>
      <w:drawing>
        <wp:inline distT="0" distB="0" distL="0" distR="0" wp14:anchorId="221ADCC4" wp14:editId="7B9405A5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76"/>
    <w:rsid w:val="00093B47"/>
    <w:rsid w:val="00164E2C"/>
    <w:rsid w:val="0030683D"/>
    <w:rsid w:val="00337533"/>
    <w:rsid w:val="00385D88"/>
    <w:rsid w:val="004F7A29"/>
    <w:rsid w:val="005364DB"/>
    <w:rsid w:val="006921B3"/>
    <w:rsid w:val="006B367D"/>
    <w:rsid w:val="00725725"/>
    <w:rsid w:val="00737353"/>
    <w:rsid w:val="0077408D"/>
    <w:rsid w:val="00792174"/>
    <w:rsid w:val="00813300"/>
    <w:rsid w:val="008571E8"/>
    <w:rsid w:val="00933BCC"/>
    <w:rsid w:val="009900C3"/>
    <w:rsid w:val="00A54570"/>
    <w:rsid w:val="00A578A7"/>
    <w:rsid w:val="00AD3D96"/>
    <w:rsid w:val="00AE4E76"/>
    <w:rsid w:val="00C75CA4"/>
    <w:rsid w:val="00E46A8E"/>
    <w:rsid w:val="00E51FF1"/>
    <w:rsid w:val="00EE21ED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76"/>
  </w:style>
  <w:style w:type="paragraph" w:styleId="Footer">
    <w:name w:val="footer"/>
    <w:basedOn w:val="Normal"/>
    <w:link w:val="Foot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76"/>
  </w:style>
  <w:style w:type="table" w:styleId="TableGrid">
    <w:name w:val="Table Grid"/>
    <w:basedOn w:val="TableNormal"/>
    <w:uiPriority w:val="39"/>
    <w:rsid w:val="00AE4E7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unhideWhenUsed/>
    <w:rsid w:val="00AE4E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4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405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thepltoolbox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Watkins</dc:creator>
  <cp:keywords/>
  <dc:description/>
  <cp:lastModifiedBy>Kristen Watkins</cp:lastModifiedBy>
  <cp:revision>2</cp:revision>
  <cp:lastPrinted>2018-02-11T18:58:00Z</cp:lastPrinted>
  <dcterms:created xsi:type="dcterms:W3CDTF">2018-02-20T03:09:00Z</dcterms:created>
  <dcterms:modified xsi:type="dcterms:W3CDTF">2018-02-20T03:09:00Z</dcterms:modified>
</cp:coreProperties>
</file>